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72D6" w14:textId="1A1EBDB6" w:rsidR="00A93FF7" w:rsidRPr="00E84861" w:rsidRDefault="00A93FF7" w:rsidP="00E84861">
      <w:pPr>
        <w:pStyle w:val="BodyText"/>
        <w:spacing w:before="57"/>
        <w:ind w:left="120" w:right="357"/>
      </w:pPr>
    </w:p>
    <w:p w14:paraId="11937A86" w14:textId="77777777" w:rsidR="00A93FF7" w:rsidRDefault="00E66F9D" w:rsidP="00CE7F7A">
      <w:pPr>
        <w:pStyle w:val="Heading1"/>
        <w:numPr>
          <w:ilvl w:val="0"/>
          <w:numId w:val="2"/>
        </w:numPr>
        <w:tabs>
          <w:tab w:val="left" w:pos="450"/>
        </w:tabs>
        <w:spacing w:before="56"/>
        <w:ind w:left="540" w:hanging="421"/>
        <w:rPr>
          <w:u w:val="none"/>
        </w:rPr>
      </w:pPr>
      <w:r>
        <w:t>Purpose</w:t>
      </w:r>
    </w:p>
    <w:p w14:paraId="71E80DC7" w14:textId="5E4EF811" w:rsidR="00A3065B" w:rsidRDefault="00E156A1" w:rsidP="00982B9B">
      <w:pPr>
        <w:pStyle w:val="BodyText"/>
        <w:spacing w:before="57" w:after="120"/>
        <w:ind w:left="115" w:right="360"/>
      </w:pPr>
      <w:r>
        <w:t xml:space="preserve">This document provides standard procedures for </w:t>
      </w:r>
      <w:r w:rsidRPr="00E156A1">
        <w:t xml:space="preserve">processing payroll </w:t>
      </w:r>
      <w:r w:rsidR="00982B9B">
        <w:t>u</w:t>
      </w:r>
      <w:r w:rsidR="00E12276">
        <w:t>tilizing</w:t>
      </w:r>
      <w:r w:rsidR="00982B9B">
        <w:t xml:space="preserve"> </w:t>
      </w:r>
      <w:r w:rsidR="00A3065B">
        <w:t xml:space="preserve">the </w:t>
      </w:r>
      <w:r w:rsidRPr="00E156A1">
        <w:t>Avail</w:t>
      </w:r>
      <w:r w:rsidR="00A3065B">
        <w:t xml:space="preserve"> </w:t>
      </w:r>
      <w:r w:rsidRPr="00E156A1">
        <w:t xml:space="preserve">Enterprise Transit Management Software (ETMS) Payroll (PR) </w:t>
      </w:r>
      <w:r w:rsidRPr="00D30DF7">
        <w:t>module.</w:t>
      </w:r>
      <w:r w:rsidR="002610B6" w:rsidRPr="00D30DF7">
        <w:t xml:space="preserve"> </w:t>
      </w:r>
      <w:r w:rsidR="00E12276" w:rsidRPr="00D30DF7">
        <w:t>Payroll</w:t>
      </w:r>
      <w:r w:rsidR="00E12276">
        <w:t xml:space="preserve"> Specialists are responsible </w:t>
      </w:r>
      <w:r w:rsidR="00D30DF7">
        <w:t xml:space="preserve">for the timely </w:t>
      </w:r>
      <w:r w:rsidR="00095108">
        <w:t xml:space="preserve">collection, preparation, and </w:t>
      </w:r>
      <w:r w:rsidR="00D30DF7">
        <w:t>completion</w:t>
      </w:r>
      <w:r w:rsidR="00095108">
        <w:t xml:space="preserve"> of</w:t>
      </w:r>
      <w:r w:rsidR="00D30DF7">
        <w:t xml:space="preserve"> </w:t>
      </w:r>
      <w:r w:rsidR="00FB4402">
        <w:t xml:space="preserve">payroll </w:t>
      </w:r>
      <w:r w:rsidR="00095108">
        <w:t>data</w:t>
      </w:r>
      <w:r w:rsidR="00D30DF7">
        <w:t>, recording time worked</w:t>
      </w:r>
      <w:r w:rsidR="0012162C">
        <w:t>,</w:t>
      </w:r>
      <w:r w:rsidR="00D30DF7">
        <w:t xml:space="preserve"> </w:t>
      </w:r>
      <w:r w:rsidR="00FB4402">
        <w:t xml:space="preserve">confirming approval for overtime or paid time off, </w:t>
      </w:r>
      <w:r w:rsidR="0012162C">
        <w:t xml:space="preserve">and calculating the appropriate deductions </w:t>
      </w:r>
      <w:r w:rsidR="00FB4402">
        <w:t>for payroll processing</w:t>
      </w:r>
      <w:r w:rsidR="00D30DF7">
        <w:t xml:space="preserve">. </w:t>
      </w:r>
      <w:r w:rsidR="00A3065B" w:rsidRPr="008E10DE">
        <w:t xml:space="preserve">Payroll Specialists </w:t>
      </w:r>
      <w:r w:rsidR="00FB4402">
        <w:t>also spend time on post-processing activities such as reconciliation and reporting for</w:t>
      </w:r>
      <w:r w:rsidR="00A3065B" w:rsidRPr="008E10DE">
        <w:t xml:space="preserve"> management. </w:t>
      </w:r>
    </w:p>
    <w:p w14:paraId="45F45B63" w14:textId="77777777" w:rsidR="00016ACB" w:rsidRPr="00B057B0" w:rsidRDefault="00016ACB" w:rsidP="008D3D64">
      <w:pPr>
        <w:pStyle w:val="BodyText"/>
        <w:spacing w:before="57" w:after="120"/>
        <w:ind w:left="115" w:right="360"/>
      </w:pPr>
    </w:p>
    <w:p w14:paraId="56E15EC5" w14:textId="77777777" w:rsidR="00A56350" w:rsidRDefault="00A56350" w:rsidP="00A56350">
      <w:pPr>
        <w:pStyle w:val="Heading1"/>
        <w:numPr>
          <w:ilvl w:val="0"/>
          <w:numId w:val="2"/>
        </w:numPr>
        <w:ind w:left="450" w:hanging="331"/>
        <w:rPr>
          <w:u w:val="none"/>
        </w:rPr>
      </w:pPr>
      <w:r>
        <w:t>Operational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Metrics</w:t>
      </w:r>
    </w:p>
    <w:p w14:paraId="77CE8929" w14:textId="730473D4" w:rsidR="00F37A9A" w:rsidRDefault="00A56350" w:rsidP="00C578D3">
      <w:pPr>
        <w:pStyle w:val="BodyText"/>
        <w:spacing w:before="57" w:after="120"/>
        <w:ind w:left="115" w:right="360"/>
      </w:pPr>
      <w:r w:rsidRPr="001C4504">
        <w:rPr>
          <w:i/>
          <w:iCs/>
        </w:rPr>
        <w:t xml:space="preserve">Operational Impact: </w:t>
      </w:r>
      <w:r w:rsidR="008A628B">
        <w:t>Relying on</w:t>
      </w:r>
      <w:r w:rsidR="00C578D3">
        <w:t xml:space="preserve"> </w:t>
      </w:r>
      <w:r w:rsidR="00016ACB">
        <w:t xml:space="preserve">the </w:t>
      </w:r>
      <w:r w:rsidR="00FB55DE">
        <w:t xml:space="preserve">Avail </w:t>
      </w:r>
      <w:r w:rsidR="00C578D3">
        <w:t xml:space="preserve">ETMS </w:t>
      </w:r>
      <w:r w:rsidR="00016ACB">
        <w:t>PR</w:t>
      </w:r>
      <w:r w:rsidR="003A0B64">
        <w:t xml:space="preserve"> module</w:t>
      </w:r>
      <w:r w:rsidR="00C578D3">
        <w:t xml:space="preserve"> to automate</w:t>
      </w:r>
      <w:r w:rsidR="00FB55DE">
        <w:t xml:space="preserve"> payroll</w:t>
      </w:r>
      <w:r w:rsidR="00356E58">
        <w:t xml:space="preserve"> </w:t>
      </w:r>
      <w:r w:rsidR="00FB55DE">
        <w:t xml:space="preserve">processing </w:t>
      </w:r>
      <w:r w:rsidR="00356E58">
        <w:t>help</w:t>
      </w:r>
      <w:r w:rsidR="00FB55DE">
        <w:t>s</w:t>
      </w:r>
      <w:r w:rsidR="00356E58">
        <w:t xml:space="preserve"> to derive operational efficiency across the </w:t>
      </w:r>
      <w:r w:rsidR="00FB55DE">
        <w:t xml:space="preserve">payroll </w:t>
      </w:r>
      <w:r w:rsidR="00356E58">
        <w:t xml:space="preserve">cycle. </w:t>
      </w:r>
      <w:r w:rsidR="00FB55DE">
        <w:t>Processing p</w:t>
      </w:r>
      <w:r w:rsidR="00DB3409" w:rsidRPr="00DB3409">
        <w:t xml:space="preserve">ayroll is </w:t>
      </w:r>
      <w:r w:rsidR="00361DF7">
        <w:t>crucial</w:t>
      </w:r>
      <w:r w:rsidR="00DB3409" w:rsidRPr="00DB3409">
        <w:t xml:space="preserve"> </w:t>
      </w:r>
      <w:r w:rsidR="006A7649" w:rsidRPr="00DB3409">
        <w:t>since</w:t>
      </w:r>
      <w:r w:rsidR="00DB3409" w:rsidRPr="00DB3409">
        <w:t xml:space="preserve"> paying employees late or filing taxes incorrectly may result in penalties and interest on back taxes. </w:t>
      </w:r>
      <w:r w:rsidR="00A72D6F" w:rsidRPr="00A72D6F">
        <w:t>Payroll that is unreliable can also negatively impact employee morale and tarnish a business’ reputation when a company’s financial integrity is questioned.</w:t>
      </w:r>
    </w:p>
    <w:p w14:paraId="60431234" w14:textId="46CE9C3B" w:rsidR="00A72D6F" w:rsidRPr="00CC3DC2" w:rsidRDefault="00A56350" w:rsidP="00256DBD">
      <w:pPr>
        <w:pStyle w:val="BodyText"/>
        <w:spacing w:before="57" w:after="120"/>
        <w:ind w:left="115" w:right="360"/>
      </w:pPr>
      <w:r w:rsidRPr="000F5F5F">
        <w:rPr>
          <w:i/>
          <w:iCs/>
        </w:rPr>
        <w:t>Metrics:</w:t>
      </w:r>
      <w:r w:rsidRPr="000F5F5F">
        <w:t xml:space="preserve"> </w:t>
      </w:r>
      <w:r w:rsidR="000F5F5F" w:rsidRPr="000F5F5F">
        <w:t xml:space="preserve">Payroll </w:t>
      </w:r>
      <w:r w:rsidR="000F5F5F">
        <w:t xml:space="preserve">metrics measure the payroll process and how well </w:t>
      </w:r>
      <w:r w:rsidR="00D219C5">
        <w:t>it is</w:t>
      </w:r>
      <w:r w:rsidR="000F5F5F">
        <w:t xml:space="preserve"> doing</w:t>
      </w:r>
      <w:r w:rsidR="00D219C5">
        <w:t xml:space="preserve">. There are not standard payroll </w:t>
      </w:r>
      <w:r w:rsidR="00BE7DE6">
        <w:t xml:space="preserve">processing </w:t>
      </w:r>
      <w:r w:rsidR="00D219C5">
        <w:t>metrics of performance</w:t>
      </w:r>
      <w:r w:rsidR="00BE7DE6">
        <w:t xml:space="preserve">. </w:t>
      </w:r>
      <w:r w:rsidR="003601F5">
        <w:t>Many</w:t>
      </w:r>
      <w:r w:rsidR="00BE7DE6">
        <w:t xml:space="preserve"> business</w:t>
      </w:r>
      <w:r w:rsidR="003601F5">
        <w:t>es</w:t>
      </w:r>
      <w:r w:rsidR="00BE7DE6">
        <w:t xml:space="preserve"> use different payroll metrics</w:t>
      </w:r>
      <w:r w:rsidR="00A72D6F">
        <w:t xml:space="preserve">; however, the most critical errors are data input errors, which result from instances of incorrect or missing data. </w:t>
      </w:r>
      <w:r w:rsidR="00A72D6F" w:rsidRPr="00CC3DC2">
        <w:t>It is important to measure these as data input error</w:t>
      </w:r>
      <w:r w:rsidR="003601F5">
        <w:t>s</w:t>
      </w:r>
      <w:r w:rsidR="00A72D6F" w:rsidRPr="00CC3DC2">
        <w:t xml:space="preserve"> increase the amount of time it takes to process payroll</w:t>
      </w:r>
      <w:r w:rsidR="003601F5">
        <w:t xml:space="preserve"> </w:t>
      </w:r>
      <w:r w:rsidR="00C12A65">
        <w:t>consequently</w:t>
      </w:r>
      <w:r w:rsidR="003601F5">
        <w:t xml:space="preserve"> jeopardizing the company’s ability to deliver timely compensation.</w:t>
      </w:r>
    </w:p>
    <w:p w14:paraId="4170FB20" w14:textId="77777777" w:rsidR="00324A69" w:rsidRPr="00256DBD" w:rsidRDefault="00324A69" w:rsidP="003601F5">
      <w:pPr>
        <w:pStyle w:val="BodyText"/>
        <w:spacing w:before="57" w:after="120"/>
        <w:ind w:left="115" w:right="360"/>
      </w:pPr>
    </w:p>
    <w:p w14:paraId="7265AABF" w14:textId="77777777" w:rsidR="00A93FF7" w:rsidRPr="00F839A7" w:rsidRDefault="00E66F9D" w:rsidP="00F839A7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>
        <w:t>Frequency</w:t>
      </w:r>
    </w:p>
    <w:p w14:paraId="67066F6C" w14:textId="44C7C0C4" w:rsidR="00C12A65" w:rsidRPr="00C12A65" w:rsidRDefault="00C12A65" w:rsidP="007B3AD8">
      <w:pPr>
        <w:pStyle w:val="BodyText"/>
        <w:spacing w:before="57"/>
        <w:ind w:left="120"/>
      </w:pPr>
      <w:r w:rsidRPr="00C12A65">
        <w:t>Payroll</w:t>
      </w:r>
      <w:r>
        <w:t xml:space="preserve"> schedules are a matter of preference; however, every employer needs to follow a payroll schedule whether it is weekly, bi-weekly, </w:t>
      </w:r>
      <w:r w:rsidR="006A7649">
        <w:t xml:space="preserve">semimonthly, </w:t>
      </w:r>
      <w:r>
        <w:t>or monthly so employees know exactly when they can expect to get paid.</w:t>
      </w:r>
    </w:p>
    <w:p w14:paraId="31A880D3" w14:textId="2862EB4E" w:rsidR="00C12A65" w:rsidRPr="00C12A65" w:rsidRDefault="00C12A65" w:rsidP="00C12A65">
      <w:pPr>
        <w:pStyle w:val="BodyText"/>
        <w:spacing w:before="57" w:after="120"/>
        <w:ind w:left="115" w:right="360"/>
      </w:pPr>
    </w:p>
    <w:p w14:paraId="2A571554" w14:textId="336ED1FA" w:rsidR="00A93FF7" w:rsidRPr="00F839A7" w:rsidRDefault="00E66F9D" w:rsidP="00F839A7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>
        <w:t>Roles</w:t>
      </w:r>
      <w:r w:rsidRPr="00F839A7">
        <w:t xml:space="preserve"> </w:t>
      </w:r>
      <w:r>
        <w:t>and</w:t>
      </w:r>
      <w:r w:rsidRPr="00F839A7">
        <w:t xml:space="preserve"> </w:t>
      </w:r>
      <w:r>
        <w:t>Responsibilities</w:t>
      </w:r>
    </w:p>
    <w:p w14:paraId="25012BBE" w14:textId="0B215F2E" w:rsidR="00CC3DC2" w:rsidRDefault="007F25A7" w:rsidP="00CC3DC2">
      <w:pPr>
        <w:pStyle w:val="BodyText"/>
        <w:spacing w:before="57" w:after="120"/>
        <w:ind w:left="115" w:right="360"/>
      </w:pPr>
      <w:r w:rsidRPr="00CC3DC2">
        <w:t>Payroll Specialists</w:t>
      </w:r>
      <w:r w:rsidR="00F839A7" w:rsidRPr="00CC3DC2">
        <w:t xml:space="preserve"> are primarily responsible for the </w:t>
      </w:r>
      <w:r w:rsidR="00206B7E" w:rsidRPr="00CC3DC2">
        <w:t>execution</w:t>
      </w:r>
      <w:r w:rsidR="00F839A7" w:rsidRPr="00CC3DC2">
        <w:t xml:space="preserve"> of </w:t>
      </w:r>
      <w:r w:rsidRPr="00CC3DC2">
        <w:t xml:space="preserve">processing </w:t>
      </w:r>
      <w:r w:rsidR="007C11DE" w:rsidRPr="00CC3DC2">
        <w:t>payroll</w:t>
      </w:r>
      <w:r w:rsidR="00F839A7" w:rsidRPr="00CC3DC2">
        <w:t>.</w:t>
      </w:r>
      <w:r w:rsidR="00A218AB" w:rsidRPr="00CC3DC2">
        <w:t xml:space="preserve"> </w:t>
      </w:r>
      <w:r w:rsidR="00CC3DC2" w:rsidRPr="00CC3DC2">
        <w:t>Typically, agencies have a multilevel payroll approval matrix in place to facilitate payroll processing and approval; therefore, this procedure is applicable to any staff member responsible for payroll processing activities performed within the Avail ETMS PR module. The line-of-business manager or designee is responsible for the oversight of this procedure.</w:t>
      </w:r>
    </w:p>
    <w:p w14:paraId="532709F1" w14:textId="4B3B0719" w:rsidR="006A7649" w:rsidRDefault="006A7649">
      <w:r>
        <w:br w:type="page"/>
      </w:r>
    </w:p>
    <w:p w14:paraId="328C2D10" w14:textId="77777777" w:rsidR="00CC3DC2" w:rsidRDefault="00CC3DC2" w:rsidP="00CC3DC2">
      <w:pPr>
        <w:pStyle w:val="BodyText"/>
        <w:spacing w:before="57" w:after="120"/>
        <w:ind w:left="115" w:right="360"/>
      </w:pPr>
    </w:p>
    <w:p w14:paraId="1661EC17" w14:textId="61A01DEA" w:rsidR="00F839A7" w:rsidRDefault="00F839A7" w:rsidP="00F839A7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 w:rsidRPr="00F839A7">
        <w:t xml:space="preserve">Procedure </w:t>
      </w:r>
    </w:p>
    <w:p w14:paraId="7D4D5258" w14:textId="6A689903" w:rsidR="002B5905" w:rsidRDefault="002B5905" w:rsidP="002B5905">
      <w:pPr>
        <w:pStyle w:val="BodyText"/>
        <w:spacing w:before="57" w:after="120"/>
        <w:ind w:left="115" w:right="360"/>
      </w:pPr>
      <w:r w:rsidRPr="000200D0">
        <w:t>Th</w:t>
      </w:r>
      <w:r>
        <w:t>is</w:t>
      </w:r>
      <w:r w:rsidRPr="000200D0">
        <w:t xml:space="preserve"> procedure </w:t>
      </w:r>
      <w:r>
        <w:t>describes</w:t>
      </w:r>
      <w:r w:rsidRPr="000200D0">
        <w:t xml:space="preserve"> the high-level steps for </w:t>
      </w:r>
      <w:r w:rsidR="007C11DE">
        <w:t>Payroll Specialists</w:t>
      </w:r>
      <w:r>
        <w:t xml:space="preserve"> to follow</w:t>
      </w:r>
      <w:r w:rsidRPr="00705599">
        <w:t xml:space="preserve"> </w:t>
      </w:r>
      <w:r>
        <w:t>when processing</w:t>
      </w:r>
      <w:r w:rsidRPr="000200D0">
        <w:t xml:space="preserve"> </w:t>
      </w:r>
      <w:r w:rsidR="007C11DE">
        <w:t>payroll</w:t>
      </w:r>
      <w:r>
        <w:t xml:space="preserve"> in Avail’s </w:t>
      </w:r>
      <w:r w:rsidRPr="000200D0">
        <w:t xml:space="preserve">ETMS </w:t>
      </w:r>
      <w:r w:rsidR="007C11DE">
        <w:t>Payroll (PR)</w:t>
      </w:r>
      <w:r>
        <w:t xml:space="preserve"> </w:t>
      </w:r>
      <w:r w:rsidRPr="000200D0">
        <w:t>module</w:t>
      </w:r>
      <w:r>
        <w:t>.</w:t>
      </w:r>
      <w:r w:rsidRPr="000200D0">
        <w:t xml:space="preserve"> </w:t>
      </w:r>
    </w:p>
    <w:p w14:paraId="1A5CF800" w14:textId="268C0B63" w:rsidR="002B5905" w:rsidRDefault="00361DF7" w:rsidP="002B5905">
      <w:pPr>
        <w:tabs>
          <w:tab w:val="left" w:pos="841"/>
        </w:tabs>
        <w:spacing w:before="56"/>
        <w:ind w:left="120"/>
      </w:pPr>
      <w:r>
        <w:t xml:space="preserve">Payroll </w:t>
      </w:r>
      <w:r w:rsidR="002B5905">
        <w:t>(</w:t>
      </w:r>
      <w:r>
        <w:t>PR</w:t>
      </w:r>
      <w:r w:rsidR="002B5905" w:rsidRPr="00E4587E">
        <w:t>)</w:t>
      </w:r>
    </w:p>
    <w:p w14:paraId="3E7B8720" w14:textId="48663669" w:rsidR="00356E58" w:rsidRDefault="00361DF7" w:rsidP="008109FC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</w:pPr>
      <w:r>
        <w:t>Collect timesheet data and payroll information</w:t>
      </w:r>
    </w:p>
    <w:p w14:paraId="490C1FDC" w14:textId="77777777" w:rsidR="00DB6443" w:rsidRDefault="00361DF7" w:rsidP="00361DF7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</w:pPr>
      <w:r w:rsidRPr="00361DF7">
        <w:t>Enter data into the database to process payroll</w:t>
      </w:r>
    </w:p>
    <w:p w14:paraId="33CD3FDB" w14:textId="677A108C" w:rsidR="00361DF7" w:rsidRPr="00361DF7" w:rsidRDefault="00DB6443" w:rsidP="00DB6443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 w:rsidRPr="00DB6443">
        <w:rPr>
          <w:i/>
          <w:iCs/>
        </w:rPr>
        <w:t>If applicable,</w:t>
      </w:r>
      <w:r>
        <w:t xml:space="preserve"> update employee data </w:t>
      </w:r>
    </w:p>
    <w:p w14:paraId="7CB7B83C" w14:textId="0CC00D00" w:rsidR="00361DF7" w:rsidRDefault="00361DF7" w:rsidP="00361DF7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</w:pPr>
      <w:r w:rsidRPr="00361DF7">
        <w:t xml:space="preserve">Calculate wages, benefits, deductions, </w:t>
      </w:r>
      <w:r w:rsidR="006820DC">
        <w:t xml:space="preserve">taxes </w:t>
      </w:r>
      <w:r w:rsidRPr="00361DF7">
        <w:t>commissions, etc.</w:t>
      </w:r>
    </w:p>
    <w:p w14:paraId="37C82577" w14:textId="470F8C3D" w:rsidR="006820DC" w:rsidRDefault="006820DC" w:rsidP="006820DC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 w:rsidRPr="006820DC">
        <w:rPr>
          <w:i/>
          <w:iCs/>
        </w:rPr>
        <w:t xml:space="preserve">If </w:t>
      </w:r>
      <w:r>
        <w:rPr>
          <w:i/>
          <w:iCs/>
        </w:rPr>
        <w:t>applicable</w:t>
      </w:r>
      <w:r w:rsidRPr="006820DC">
        <w:rPr>
          <w:i/>
          <w:iCs/>
        </w:rPr>
        <w:t>,</w:t>
      </w:r>
      <w:r>
        <w:t xml:space="preserve"> modify deductions and/or taxes</w:t>
      </w:r>
    </w:p>
    <w:p w14:paraId="3A83E397" w14:textId="683F35EC" w:rsidR="00C565A5" w:rsidRPr="00C565A5" w:rsidRDefault="00C565A5" w:rsidP="006820DC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>
        <w:rPr>
          <w:i/>
          <w:iCs/>
        </w:rPr>
        <w:t xml:space="preserve">If required, </w:t>
      </w:r>
      <w:r w:rsidRPr="00C565A5">
        <w:t>print or view deduction reports</w:t>
      </w:r>
    </w:p>
    <w:p w14:paraId="4D95E102" w14:textId="08F1642B" w:rsidR="00A51155" w:rsidRDefault="00A51155" w:rsidP="003F208B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59" w:lineRule="auto"/>
        <w:contextualSpacing/>
      </w:pPr>
      <w:r w:rsidRPr="00A51155">
        <w:t>Prepar</w:t>
      </w:r>
      <w:r>
        <w:t>e</w:t>
      </w:r>
      <w:r w:rsidRPr="00A51155">
        <w:t xml:space="preserve"> and proces</w:t>
      </w:r>
      <w:r>
        <w:t>s</w:t>
      </w:r>
      <w:r w:rsidRPr="00A51155">
        <w:t xml:space="preserve"> paychecks and cash deposits</w:t>
      </w:r>
    </w:p>
    <w:p w14:paraId="2F9C7E31" w14:textId="6A261A1C" w:rsidR="006820DC" w:rsidRDefault="006820DC" w:rsidP="006820DC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 w:rsidRPr="006820DC">
        <w:rPr>
          <w:i/>
          <w:iCs/>
        </w:rPr>
        <w:t>If applicable,</w:t>
      </w:r>
      <w:r>
        <w:t xml:space="preserve"> create ACH file</w:t>
      </w:r>
    </w:p>
    <w:p w14:paraId="52C49251" w14:textId="325266BF" w:rsidR="007F0D8C" w:rsidRPr="007F0D8C" w:rsidRDefault="007F0D8C" w:rsidP="006820DC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 w:rsidRPr="007F0D8C">
        <w:t>Print checks</w:t>
      </w:r>
    </w:p>
    <w:p w14:paraId="3830C604" w14:textId="77777777" w:rsidR="003F208B" w:rsidRDefault="00A51155" w:rsidP="00207AF5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59" w:lineRule="auto"/>
        <w:contextualSpacing/>
      </w:pPr>
      <w:r w:rsidRPr="00A51155">
        <w:t>Maintain accurate records of payroll documentation and transactions</w:t>
      </w:r>
    </w:p>
    <w:p w14:paraId="5777B637" w14:textId="194B0901" w:rsidR="00A51155" w:rsidRDefault="00A51155" w:rsidP="00207AF5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59" w:lineRule="auto"/>
        <w:contextualSpacing/>
      </w:pPr>
      <w:r w:rsidRPr="00A51155">
        <w:t>Prepare and distribute income statements</w:t>
      </w:r>
    </w:p>
    <w:p w14:paraId="1B079FE5" w14:textId="72902BF8" w:rsidR="007F0D8C" w:rsidRDefault="007F0D8C" w:rsidP="00F7623D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 w:rsidRPr="007F0D8C">
        <w:t>Print earning statements (or email earning statements)</w:t>
      </w:r>
    </w:p>
    <w:p w14:paraId="269641F6" w14:textId="7CAFC9FD" w:rsidR="00A51155" w:rsidRPr="00A51155" w:rsidRDefault="00A51155" w:rsidP="00F7623D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59" w:lineRule="auto"/>
        <w:contextualSpacing/>
      </w:pPr>
      <w:r w:rsidRPr="00A51155">
        <w:t>Respond to payroll-related inquiries and resolv</w:t>
      </w:r>
      <w:r w:rsidR="005311E1">
        <w:t>e</w:t>
      </w:r>
      <w:r w:rsidRPr="00A51155">
        <w:t xml:space="preserve"> concerns</w:t>
      </w:r>
    </w:p>
    <w:p w14:paraId="6D6D3602" w14:textId="298D8B93" w:rsidR="00A51155" w:rsidRDefault="00A51155" w:rsidP="00F7623D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59" w:lineRule="auto"/>
        <w:contextualSpacing/>
      </w:pPr>
      <w:r w:rsidRPr="00A51155">
        <w:t>Perform account balance and payroll reconciliations</w:t>
      </w:r>
    </w:p>
    <w:p w14:paraId="36304DA9" w14:textId="08121BD8" w:rsidR="00C565A5" w:rsidRPr="00A51155" w:rsidRDefault="00C565A5" w:rsidP="00C565A5">
      <w:pPr>
        <w:pStyle w:val="ListParagraph"/>
        <w:widowControl/>
        <w:numPr>
          <w:ilvl w:val="1"/>
          <w:numId w:val="9"/>
        </w:numPr>
        <w:autoSpaceDE/>
        <w:autoSpaceDN/>
        <w:spacing w:before="100" w:beforeAutospacing="1" w:after="100" w:afterAutospacing="1" w:line="259" w:lineRule="auto"/>
        <w:contextualSpacing/>
      </w:pPr>
      <w:r>
        <w:t>Run the Payroll Update</w:t>
      </w:r>
    </w:p>
    <w:p w14:paraId="11BDDB0C" w14:textId="1B76970C" w:rsidR="00A51155" w:rsidRDefault="00A51155" w:rsidP="00C565A5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59" w:lineRule="auto"/>
        <w:contextualSpacing/>
      </w:pPr>
      <w:r w:rsidRPr="00A51155">
        <w:t>Prepare financial reports for accounting and auditing purposes</w:t>
      </w:r>
    </w:p>
    <w:p w14:paraId="727FC771" w14:textId="56050EEA" w:rsidR="005311E1" w:rsidRDefault="005311E1" w:rsidP="005311E1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>
        <w:t>Monthly</w:t>
      </w:r>
    </w:p>
    <w:p w14:paraId="2B13348F" w14:textId="77777777" w:rsidR="005311E1" w:rsidRDefault="005311E1" w:rsidP="005311E1">
      <w:pPr>
        <w:pStyle w:val="ListParagraph"/>
        <w:widowControl/>
        <w:numPr>
          <w:ilvl w:val="2"/>
          <w:numId w:val="26"/>
        </w:numPr>
        <w:autoSpaceDE/>
        <w:autoSpaceDN/>
        <w:spacing w:before="0" w:after="160" w:line="259" w:lineRule="auto"/>
        <w:contextualSpacing/>
      </w:pPr>
      <w:r>
        <w:t>Pay employee and employer portion of taxes</w:t>
      </w:r>
    </w:p>
    <w:p w14:paraId="1AD42B31" w14:textId="77777777" w:rsidR="005311E1" w:rsidRDefault="005311E1" w:rsidP="005311E1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>
        <w:t>Quarterly</w:t>
      </w:r>
    </w:p>
    <w:p w14:paraId="5889B717" w14:textId="77777777" w:rsidR="005311E1" w:rsidRDefault="005311E1" w:rsidP="005311E1">
      <w:pPr>
        <w:pStyle w:val="ListParagraph"/>
        <w:widowControl/>
        <w:numPr>
          <w:ilvl w:val="0"/>
          <w:numId w:val="28"/>
        </w:numPr>
        <w:autoSpaceDE/>
        <w:autoSpaceDN/>
        <w:spacing w:before="0" w:after="160" w:line="259" w:lineRule="auto"/>
        <w:contextualSpacing/>
      </w:pPr>
      <w:r w:rsidRPr="005311E1">
        <w:t>If applicable,</w:t>
      </w:r>
      <w:r>
        <w:t xml:space="preserve"> pay benefit providers/vendors owed</w:t>
      </w:r>
    </w:p>
    <w:p w14:paraId="3641C15A" w14:textId="77777777" w:rsidR="005311E1" w:rsidRDefault="005311E1" w:rsidP="005311E1">
      <w:pPr>
        <w:pStyle w:val="ListParagraph"/>
        <w:widowControl/>
        <w:numPr>
          <w:ilvl w:val="1"/>
          <w:numId w:val="9"/>
        </w:numPr>
        <w:autoSpaceDE/>
        <w:autoSpaceDN/>
        <w:spacing w:before="0" w:after="160" w:line="259" w:lineRule="auto"/>
        <w:contextualSpacing/>
      </w:pPr>
      <w:r>
        <w:t>Year-end/Annual</w:t>
      </w:r>
    </w:p>
    <w:p w14:paraId="7D8F39C9" w14:textId="04F14139" w:rsidR="008F7C9F" w:rsidRDefault="008F7C9F" w:rsidP="00BD70A3">
      <w:pPr>
        <w:tabs>
          <w:tab w:val="left" w:pos="1561"/>
        </w:tabs>
        <w:spacing w:line="259" w:lineRule="auto"/>
        <w:ind w:right="1132"/>
      </w:pPr>
    </w:p>
    <w:p w14:paraId="1023904D" w14:textId="1FE2DF99" w:rsidR="001C4504" w:rsidRDefault="001C4504" w:rsidP="001C4504">
      <w:pPr>
        <w:pStyle w:val="Heading1"/>
        <w:numPr>
          <w:ilvl w:val="0"/>
          <w:numId w:val="2"/>
        </w:numPr>
        <w:tabs>
          <w:tab w:val="left" w:pos="540"/>
        </w:tabs>
        <w:ind w:left="0" w:firstLine="180"/>
      </w:pPr>
      <w:r w:rsidRPr="001C4504">
        <w:t>Supporting Documents</w:t>
      </w:r>
    </w:p>
    <w:p w14:paraId="7F7F3045" w14:textId="743B258B" w:rsidR="0086258A" w:rsidRDefault="0086258A" w:rsidP="0086258A">
      <w:pPr>
        <w:pStyle w:val="BodyText"/>
        <w:spacing w:before="57" w:after="120"/>
        <w:ind w:left="115" w:right="360"/>
        <w:rPr>
          <w:rStyle w:val="Hyperlink"/>
        </w:rPr>
      </w:pPr>
      <w:r>
        <w:t xml:space="preserve">The following </w:t>
      </w:r>
      <w:r w:rsidR="00282BC5">
        <w:t xml:space="preserve">product </w:t>
      </w:r>
      <w:r>
        <w:t>supporting documents are available online in the Avail Technologies portal:</w:t>
      </w:r>
      <w:r>
        <w:br/>
      </w:r>
      <w:hyperlink r:id="rId8" w:history="1">
        <w:r w:rsidR="004E410F">
          <w:rPr>
            <w:rStyle w:val="Hyperlink"/>
          </w:rPr>
          <w:t>https://www.availtecportal.com/knowledge-base/payroll</w:t>
        </w:r>
      </w:hyperlink>
    </w:p>
    <w:p w14:paraId="6350FECB" w14:textId="7D277B31" w:rsidR="0038303E" w:rsidRPr="004E410F" w:rsidRDefault="004E410F" w:rsidP="00282BC5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rPr>
          <w:rStyle w:val="Hyperlink"/>
        </w:rPr>
      </w:pPr>
      <w:r>
        <w:fldChar w:fldCharType="begin"/>
      </w:r>
      <w:r w:rsidR="00C21262">
        <w:instrText>HYPERLINK "https://www.availtecportal.com/docs/default-source/documents/payroll-knowledge-base/payroll-instructional-tools/note-guide---payroll-talent-mgmt.pdf?sfvrsn=99e53927_3"</w:instrText>
      </w:r>
      <w:r>
        <w:fldChar w:fldCharType="separate"/>
      </w:r>
      <w:r w:rsidR="0086258A" w:rsidRPr="004E410F">
        <w:rPr>
          <w:rStyle w:val="Hyperlink"/>
        </w:rPr>
        <w:t xml:space="preserve">Note Guide – </w:t>
      </w:r>
      <w:r w:rsidR="00C21262">
        <w:rPr>
          <w:rStyle w:val="Hyperlink"/>
        </w:rPr>
        <w:t>Payroll &amp; Talent Mgmt</w:t>
      </w:r>
    </w:p>
    <w:p w14:paraId="05C44B7F" w14:textId="6EDEC49A" w:rsidR="0038303E" w:rsidRPr="00336DD7" w:rsidRDefault="004E410F" w:rsidP="00282BC5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rPr>
          <w:rStyle w:val="Hyperlink"/>
          <w:color w:val="auto"/>
          <w:u w:val="none"/>
        </w:rPr>
      </w:pPr>
      <w:r>
        <w:fldChar w:fldCharType="end"/>
      </w:r>
      <w:hyperlink r:id="rId9" w:history="1">
        <w:r w:rsidR="0038303E" w:rsidRPr="00282BC5">
          <w:rPr>
            <w:rStyle w:val="Hyperlink"/>
          </w:rPr>
          <w:t>FNW_</w:t>
        </w:r>
        <w:r w:rsidR="00282BC5" w:rsidRPr="00282BC5">
          <w:rPr>
            <w:rStyle w:val="Hyperlink"/>
          </w:rPr>
          <w:t>Payroll</w:t>
        </w:r>
      </w:hyperlink>
    </w:p>
    <w:p w14:paraId="73293E54" w14:textId="5AB5F9D6" w:rsidR="00336DD7" w:rsidRDefault="00FA20C7" w:rsidP="00282BC5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</w:pPr>
      <w:hyperlink r:id="rId10" w:history="1">
        <w:r w:rsidR="00336DD7" w:rsidRPr="00336DD7">
          <w:rPr>
            <w:rStyle w:val="Hyperlink"/>
          </w:rPr>
          <w:t>PR – ACH Processing</w:t>
        </w:r>
      </w:hyperlink>
    </w:p>
    <w:sectPr w:rsidR="00336DD7" w:rsidSect="009978C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260" w:right="1320" w:bottom="1620" w:left="1320" w:header="1080" w:footer="92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EEC4" w14:textId="77777777" w:rsidR="00FA20C7" w:rsidRDefault="00FA20C7">
      <w:r>
        <w:separator/>
      </w:r>
    </w:p>
  </w:endnote>
  <w:endnote w:type="continuationSeparator" w:id="0">
    <w:p w14:paraId="7F01B19A" w14:textId="77777777" w:rsidR="00FA20C7" w:rsidRDefault="00FA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B852" w14:textId="7355A7FA" w:rsidR="008A628B" w:rsidRPr="0074353A" w:rsidRDefault="008A628B" w:rsidP="005A559E">
    <w:pPr>
      <w:pStyle w:val="Footer"/>
      <w:tabs>
        <w:tab w:val="decimal" w:pos="6570"/>
        <w:tab w:val="decimal" w:pos="9360"/>
      </w:tabs>
      <w:rPr>
        <w:sz w:val="20"/>
      </w:rPr>
    </w:pPr>
    <w:r w:rsidRPr="00386185">
      <w:rPr>
        <w:sz w:val="20"/>
      </w:rPr>
      <w:t>SOP-ETMS-</w:t>
    </w:r>
    <w:r w:rsidR="007F25A7">
      <w:rPr>
        <w:sz w:val="20"/>
      </w:rPr>
      <w:t>Payroll</w:t>
    </w:r>
    <w:r w:rsidRPr="00386185">
      <w:rPr>
        <w:sz w:val="20"/>
      </w:rPr>
      <w:t>-01</w:t>
    </w:r>
    <w:r>
      <w:rPr>
        <w:sz w:val="20"/>
      </w:rPr>
      <w:tab/>
    </w:r>
    <w:r w:rsidR="007F25A7">
      <w:rPr>
        <w:sz w:val="20"/>
      </w:rPr>
      <w:t>Payroll Processing</w:t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3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br/>
    </w:r>
    <w:r w:rsidRPr="00CF7931">
      <w:rPr>
        <w:rStyle w:val="PageNumber"/>
        <w:i/>
        <w:iCs/>
        <w:sz w:val="20"/>
      </w:rPr>
      <w:t>Prepared by</w:t>
    </w:r>
    <w:r>
      <w:rPr>
        <w:rStyle w:val="PageNumber"/>
        <w:i/>
        <w:iCs/>
        <w:sz w:val="20"/>
      </w:rPr>
      <w:t>:</w:t>
    </w:r>
    <w:r w:rsidRPr="00CF7931">
      <w:rPr>
        <w:rStyle w:val="PageNumber"/>
        <w:i/>
        <w:iCs/>
        <w:sz w:val="20"/>
      </w:rPr>
      <w:t xml:space="preserve"> Knowledge Arch</w:t>
    </w:r>
    <w:r>
      <w:rPr>
        <w:rStyle w:val="PageNumber"/>
        <w:i/>
        <w:iCs/>
        <w:sz w:val="20"/>
      </w:rPr>
      <w:t>itects</w:t>
    </w:r>
    <w:r w:rsidRPr="008311D1">
      <w:rPr>
        <w:rStyle w:val="PageNumber"/>
        <w:i/>
        <w:iCs/>
        <w:sz w:val="20"/>
        <w:vertAlign w:val="superscript"/>
      </w:rPr>
      <w:t>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7124" w14:textId="77777777" w:rsidR="00FA20C7" w:rsidRDefault="00FA20C7">
      <w:r>
        <w:separator/>
      </w:r>
    </w:p>
  </w:footnote>
  <w:footnote w:type="continuationSeparator" w:id="0">
    <w:p w14:paraId="6EC47284" w14:textId="77777777" w:rsidR="00FA20C7" w:rsidRDefault="00FA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1BB3" w14:textId="70B5476E" w:rsidR="003C6512" w:rsidRDefault="003C6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FFB0" w14:textId="75823973" w:rsidR="008A628B" w:rsidRDefault="00FA20C7">
    <w:pPr>
      <w:pStyle w:val="BodyText"/>
      <w:spacing w:before="0" w:line="14" w:lineRule="auto"/>
      <w:ind w:left="0"/>
      <w:rPr>
        <w:sz w:val="20"/>
      </w:rPr>
    </w:pPr>
    <w:r>
      <w:rPr>
        <w:noProof/>
      </w:rPr>
      <w:pict w14:anchorId="1DDF405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29.2pt;margin-top:37.2pt;width:154.2pt;height:16.8pt;z-index:-15879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" filled="f" stroked="f">
          <v:textbox style="mso-next-textbox:#Text Box 2" inset="0,0,0,0">
            <w:txbxContent>
              <w:p w14:paraId="27DA67FE" w14:textId="77777777" w:rsidR="008A628B" w:rsidRDefault="008A628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Standard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Operating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Procedure</w:t>
                </w:r>
              </w:p>
            </w:txbxContent>
          </v:textbox>
          <w10:wrap anchorx="page" anchory="page"/>
        </v:shape>
      </w:pict>
    </w:r>
    <w:r w:rsidR="008A628B">
      <w:rPr>
        <w:sz w:val="20"/>
      </w:rPr>
      <w:tab/>
    </w:r>
  </w:p>
  <w:p w14:paraId="706E8CEC" w14:textId="5C2123E8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7E6B63F4" w14:textId="78E67E53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3D892B91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691A32F1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3D657C4F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407FA24F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58323703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46D61EC8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p w14:paraId="6BD55282" w14:textId="77777777" w:rsidR="008A628B" w:rsidRDefault="008A628B">
    <w:pPr>
      <w:pStyle w:val="BodyText"/>
      <w:spacing w:before="0" w:line="14" w:lineRule="auto"/>
      <w:ind w:left="0"/>
      <w:rPr>
        <w:sz w:val="20"/>
      </w:rPr>
    </w:pPr>
  </w:p>
  <w:tbl>
    <w:tblPr>
      <w:tblW w:w="0" w:type="auto"/>
      <w:tblInd w:w="1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30"/>
      <w:gridCol w:w="3150"/>
      <w:gridCol w:w="4072"/>
    </w:tblGrid>
    <w:tr w:rsidR="008A628B" w14:paraId="20258FB3" w14:textId="77777777" w:rsidTr="0000133E">
      <w:trPr>
        <w:trHeight w:val="561"/>
      </w:trPr>
      <w:tc>
        <w:tcPr>
          <w:tcW w:w="2130" w:type="dxa"/>
          <w:vMerge w:val="restart"/>
        </w:tcPr>
        <w:p w14:paraId="71CB4520" w14:textId="77777777" w:rsidR="008A628B" w:rsidRDefault="008A628B" w:rsidP="009978C9">
          <w:pPr>
            <w:pStyle w:val="TableParagraph"/>
            <w:spacing w:line="240" w:lineRule="auto"/>
            <w:ind w:left="21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BE0604E" wp14:editId="49DB88BF">
                <wp:extent cx="1203507" cy="609600"/>
                <wp:effectExtent l="0" t="0" r="0" b="0"/>
                <wp:docPr id="5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507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</w:tcPr>
        <w:p w14:paraId="1E27DF3A" w14:textId="2DA0D1C9" w:rsidR="008A628B" w:rsidRPr="003C5AB1" w:rsidRDefault="008A628B" w:rsidP="003601F5">
          <w:pPr>
            <w:pStyle w:val="TableParagraph"/>
            <w:tabs>
              <w:tab w:val="decimal" w:pos="1227"/>
            </w:tabs>
            <w:ind w:left="151"/>
            <w:rPr>
              <w:b/>
              <w:sz w:val="24"/>
              <w:szCs w:val="24"/>
            </w:rPr>
          </w:pPr>
          <w:r w:rsidRPr="007B43D3">
            <w:rPr>
              <w:bCs/>
              <w:sz w:val="24"/>
              <w:szCs w:val="24"/>
            </w:rPr>
            <w:t>Position:</w:t>
          </w:r>
          <w:r w:rsidRPr="003C5AB1">
            <w:rPr>
              <w:sz w:val="24"/>
              <w:szCs w:val="24"/>
            </w:rPr>
            <w:t xml:space="preserve"> </w:t>
          </w:r>
          <w:r w:rsidR="00076D92">
            <w:rPr>
              <w:b/>
              <w:bCs/>
              <w:sz w:val="24"/>
              <w:szCs w:val="24"/>
            </w:rPr>
            <w:t>Payroll Specialist</w:t>
          </w:r>
        </w:p>
      </w:tc>
      <w:tc>
        <w:tcPr>
          <w:tcW w:w="4072" w:type="dxa"/>
        </w:tcPr>
        <w:p w14:paraId="7AAB7E9F" w14:textId="79B14507" w:rsidR="008A628B" w:rsidRPr="003C5AB1" w:rsidRDefault="008A628B" w:rsidP="00076D92">
          <w:pPr>
            <w:pStyle w:val="TableParagraph"/>
            <w:spacing w:line="274" w:lineRule="exact"/>
            <w:ind w:right="389"/>
            <w:rPr>
              <w:b/>
              <w:sz w:val="24"/>
              <w:szCs w:val="24"/>
              <w:highlight w:val="yellow"/>
            </w:rPr>
          </w:pPr>
          <w:r w:rsidRPr="003C5AB1">
            <w:rPr>
              <w:sz w:val="24"/>
              <w:szCs w:val="24"/>
            </w:rPr>
            <w:t xml:space="preserve">Title: </w:t>
          </w:r>
          <w:r>
            <w:rPr>
              <w:sz w:val="24"/>
              <w:szCs w:val="24"/>
            </w:rPr>
            <w:t xml:space="preserve">  </w:t>
          </w:r>
          <w:r w:rsidR="00076D92">
            <w:rPr>
              <w:b/>
              <w:bCs/>
              <w:sz w:val="24"/>
              <w:szCs w:val="24"/>
            </w:rPr>
            <w:t>Payroll</w:t>
          </w:r>
          <w:r w:rsidR="007F25A7">
            <w:rPr>
              <w:b/>
              <w:bCs/>
              <w:sz w:val="24"/>
              <w:szCs w:val="24"/>
            </w:rPr>
            <w:t xml:space="preserve"> Processing</w:t>
          </w:r>
        </w:p>
      </w:tc>
    </w:tr>
    <w:tr w:rsidR="008A628B" w:rsidRPr="009978C9" w14:paraId="5CDEC134" w14:textId="77777777" w:rsidTr="0000133E">
      <w:trPr>
        <w:trHeight w:val="333"/>
      </w:trPr>
      <w:tc>
        <w:tcPr>
          <w:tcW w:w="2130" w:type="dxa"/>
          <w:vMerge/>
          <w:tcBorders>
            <w:top w:val="nil"/>
          </w:tcBorders>
        </w:tcPr>
        <w:p w14:paraId="5C069C45" w14:textId="77777777" w:rsidR="008A628B" w:rsidRPr="009978C9" w:rsidRDefault="008A628B" w:rsidP="009978C9">
          <w:pPr>
            <w:rPr>
              <w:b/>
              <w:sz w:val="24"/>
            </w:rPr>
          </w:pPr>
        </w:p>
      </w:tc>
      <w:tc>
        <w:tcPr>
          <w:tcW w:w="3150" w:type="dxa"/>
        </w:tcPr>
        <w:p w14:paraId="04A5DF88" w14:textId="0257752E" w:rsidR="008A628B" w:rsidRPr="003C5AB1" w:rsidRDefault="008A628B" w:rsidP="00324A69">
          <w:pPr>
            <w:pStyle w:val="TableParagraph"/>
            <w:ind w:left="1315" w:hanging="1208"/>
            <w:rPr>
              <w:b/>
              <w:sz w:val="24"/>
              <w:szCs w:val="24"/>
            </w:rPr>
          </w:pPr>
          <w:r w:rsidRPr="003C5AB1">
            <w:rPr>
              <w:bCs/>
              <w:sz w:val="24"/>
              <w:szCs w:val="24"/>
            </w:rPr>
            <w:t>Frequency:</w:t>
          </w:r>
          <w:r w:rsidRPr="003C5AB1"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t>Agency Defined</w:t>
          </w:r>
        </w:p>
      </w:tc>
      <w:tc>
        <w:tcPr>
          <w:tcW w:w="4072" w:type="dxa"/>
        </w:tcPr>
        <w:p w14:paraId="6A7D1D6D" w14:textId="0128CA9C" w:rsidR="008A628B" w:rsidRPr="003C5AB1" w:rsidRDefault="008A628B" w:rsidP="009978C9">
          <w:pPr>
            <w:pStyle w:val="TableParagraph"/>
            <w:rPr>
              <w:b/>
              <w:sz w:val="24"/>
              <w:szCs w:val="24"/>
            </w:rPr>
          </w:pPr>
          <w:r w:rsidRPr="003C5AB1">
            <w:rPr>
              <w:bCs/>
              <w:sz w:val="24"/>
              <w:szCs w:val="24"/>
            </w:rPr>
            <w:t>SOP#:</w:t>
          </w:r>
          <w:r w:rsidRPr="003C5AB1">
            <w:rPr>
              <w:b/>
              <w:sz w:val="24"/>
              <w:szCs w:val="24"/>
            </w:rPr>
            <w:t xml:space="preserve">  SOP-ETMS-</w:t>
          </w:r>
          <w:r w:rsidR="007F25A7">
            <w:rPr>
              <w:b/>
              <w:sz w:val="24"/>
              <w:szCs w:val="24"/>
            </w:rPr>
            <w:t>Payroll</w:t>
          </w:r>
          <w:r>
            <w:rPr>
              <w:b/>
              <w:sz w:val="24"/>
              <w:szCs w:val="24"/>
            </w:rPr>
            <w:t>-</w:t>
          </w:r>
          <w:r w:rsidRPr="003C5AB1">
            <w:rPr>
              <w:b/>
              <w:sz w:val="24"/>
              <w:szCs w:val="24"/>
            </w:rPr>
            <w:t>01</w:t>
          </w:r>
        </w:p>
      </w:tc>
    </w:tr>
    <w:tr w:rsidR="008A628B" w:rsidRPr="009978C9" w14:paraId="6CCEFD82" w14:textId="77777777" w:rsidTr="00F2128B">
      <w:trPr>
        <w:trHeight w:val="333"/>
      </w:trPr>
      <w:tc>
        <w:tcPr>
          <w:tcW w:w="2130" w:type="dxa"/>
          <w:vMerge/>
          <w:tcBorders>
            <w:top w:val="nil"/>
          </w:tcBorders>
        </w:tcPr>
        <w:p w14:paraId="68A6C33A" w14:textId="77777777" w:rsidR="008A628B" w:rsidRPr="009978C9" w:rsidRDefault="008A628B" w:rsidP="009978C9">
          <w:pPr>
            <w:rPr>
              <w:b/>
              <w:sz w:val="24"/>
            </w:rPr>
          </w:pPr>
        </w:p>
      </w:tc>
      <w:tc>
        <w:tcPr>
          <w:tcW w:w="7222" w:type="dxa"/>
          <w:gridSpan w:val="2"/>
        </w:tcPr>
        <w:p w14:paraId="609C7204" w14:textId="46395B8A" w:rsidR="008A628B" w:rsidRPr="003C5AB1" w:rsidRDefault="008A628B" w:rsidP="009978C9">
          <w:pPr>
            <w:pStyle w:val="TableParagraph"/>
            <w:rPr>
              <w:b/>
              <w:sz w:val="24"/>
              <w:szCs w:val="24"/>
            </w:rPr>
          </w:pPr>
          <w:r w:rsidRPr="003C5AB1">
            <w:rPr>
              <w:bCs/>
              <w:sz w:val="24"/>
              <w:szCs w:val="24"/>
            </w:rPr>
            <w:t>Issue Date:</w:t>
          </w:r>
          <w:r w:rsidRPr="003C5AB1">
            <w:rPr>
              <w:b/>
              <w:sz w:val="24"/>
              <w:szCs w:val="24"/>
            </w:rPr>
            <w:t xml:space="preserve">  </w:t>
          </w:r>
          <w:r w:rsidR="0000133E">
            <w:rPr>
              <w:b/>
              <w:sz w:val="24"/>
              <w:szCs w:val="24"/>
            </w:rPr>
            <w:t>August</w:t>
          </w:r>
          <w:r w:rsidRPr="003C5AB1">
            <w:rPr>
              <w:b/>
              <w:sz w:val="24"/>
              <w:szCs w:val="24"/>
            </w:rPr>
            <w:t xml:space="preserve"> 2021</w:t>
          </w:r>
        </w:p>
      </w:tc>
    </w:tr>
  </w:tbl>
  <w:p w14:paraId="3E6C8D66" w14:textId="0D3A2982" w:rsidR="008A628B" w:rsidRPr="009978C9" w:rsidRDefault="008A628B">
    <w:pPr>
      <w:pStyle w:val="BodyText"/>
      <w:spacing w:before="0" w:line="14" w:lineRule="auto"/>
      <w:ind w:left="0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5891" w14:textId="51457563" w:rsidR="003C6512" w:rsidRDefault="003C6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63A"/>
    <w:multiLevelType w:val="hybridMultilevel"/>
    <w:tmpl w:val="566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3CE7"/>
    <w:multiLevelType w:val="hybridMultilevel"/>
    <w:tmpl w:val="4830ECD2"/>
    <w:lvl w:ilvl="0" w:tplc="5A7A8690">
      <w:start w:val="1"/>
      <w:numFmt w:val="upperRoman"/>
      <w:lvlText w:val="%1."/>
      <w:lvlJc w:val="left"/>
      <w:pPr>
        <w:ind w:left="-72" w:hanging="16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u w:val="single" w:color="000000"/>
        <w:lang w:val="en-US" w:eastAsia="en-US" w:bidi="ar-SA"/>
      </w:rPr>
    </w:lvl>
    <w:lvl w:ilvl="1" w:tplc="DC2AC714">
      <w:start w:val="1"/>
      <w:numFmt w:val="upperLetter"/>
      <w:lvlText w:val="%2."/>
      <w:lvlJc w:val="left"/>
      <w:pPr>
        <w:ind w:left="4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08667F0">
      <w:start w:val="1"/>
      <w:numFmt w:val="decimal"/>
      <w:lvlText w:val="%3."/>
      <w:lvlJc w:val="left"/>
      <w:pPr>
        <w:ind w:left="120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 w:tplc="F00698B0">
      <w:start w:val="1"/>
      <w:numFmt w:val="lowerLetter"/>
      <w:lvlText w:val="%4."/>
      <w:lvlJc w:val="left"/>
      <w:pPr>
        <w:ind w:left="192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4" w:tplc="2B5E43CA">
      <w:numFmt w:val="bullet"/>
      <w:lvlText w:val="•"/>
      <w:lvlJc w:val="left"/>
      <w:pPr>
        <w:ind w:left="1920" w:hanging="269"/>
      </w:pPr>
      <w:rPr>
        <w:rFonts w:hint="default"/>
        <w:lang w:val="en-US" w:eastAsia="en-US" w:bidi="ar-SA"/>
      </w:rPr>
    </w:lvl>
    <w:lvl w:ilvl="5" w:tplc="16123450">
      <w:numFmt w:val="bullet"/>
      <w:lvlText w:val="•"/>
      <w:lvlJc w:val="left"/>
      <w:pPr>
        <w:ind w:left="3140" w:hanging="269"/>
      </w:pPr>
      <w:rPr>
        <w:rFonts w:hint="default"/>
        <w:lang w:val="en-US" w:eastAsia="en-US" w:bidi="ar-SA"/>
      </w:rPr>
    </w:lvl>
    <w:lvl w:ilvl="6" w:tplc="662E9184">
      <w:numFmt w:val="bullet"/>
      <w:lvlText w:val="•"/>
      <w:lvlJc w:val="left"/>
      <w:pPr>
        <w:ind w:left="4360" w:hanging="269"/>
      </w:pPr>
      <w:rPr>
        <w:rFonts w:hint="default"/>
        <w:lang w:val="en-US" w:eastAsia="en-US" w:bidi="ar-SA"/>
      </w:rPr>
    </w:lvl>
    <w:lvl w:ilvl="7" w:tplc="FAE6D810">
      <w:numFmt w:val="bullet"/>
      <w:lvlText w:val="•"/>
      <w:lvlJc w:val="left"/>
      <w:pPr>
        <w:ind w:left="5580" w:hanging="269"/>
      </w:pPr>
      <w:rPr>
        <w:rFonts w:hint="default"/>
        <w:lang w:val="en-US" w:eastAsia="en-US" w:bidi="ar-SA"/>
      </w:rPr>
    </w:lvl>
    <w:lvl w:ilvl="8" w:tplc="701EB598">
      <w:numFmt w:val="bullet"/>
      <w:lvlText w:val="•"/>
      <w:lvlJc w:val="left"/>
      <w:pPr>
        <w:ind w:left="680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C5C4A54"/>
    <w:multiLevelType w:val="hybridMultilevel"/>
    <w:tmpl w:val="A0EC1FA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E3E187D"/>
    <w:multiLevelType w:val="hybridMultilevel"/>
    <w:tmpl w:val="7ADA8EE4"/>
    <w:lvl w:ilvl="0" w:tplc="264A5C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2380"/>
    <w:multiLevelType w:val="multilevel"/>
    <w:tmpl w:val="5D8A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D486F"/>
    <w:multiLevelType w:val="hybridMultilevel"/>
    <w:tmpl w:val="15CC73F4"/>
    <w:lvl w:ilvl="0" w:tplc="0409000F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17861CB0"/>
    <w:multiLevelType w:val="multilevel"/>
    <w:tmpl w:val="98E2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56AF8"/>
    <w:multiLevelType w:val="hybridMultilevel"/>
    <w:tmpl w:val="EA68525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ED87A4A"/>
    <w:multiLevelType w:val="hybridMultilevel"/>
    <w:tmpl w:val="040CAD38"/>
    <w:lvl w:ilvl="0" w:tplc="5A7A8690">
      <w:start w:val="1"/>
      <w:numFmt w:val="upperRoman"/>
      <w:lvlText w:val="%1."/>
      <w:lvlJc w:val="left"/>
      <w:pPr>
        <w:ind w:left="288" w:hanging="16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u w:val="single" w:color="000000"/>
        <w:lang w:val="en-US" w:eastAsia="en-US" w:bidi="ar-SA"/>
      </w:rPr>
    </w:lvl>
    <w:lvl w:ilvl="1" w:tplc="DC2AC714">
      <w:start w:val="1"/>
      <w:numFmt w:val="upperLetter"/>
      <w:lvlText w:val="%2.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C08667F0">
      <w:start w:val="1"/>
      <w:numFmt w:val="decimal"/>
      <w:lvlText w:val="%3."/>
      <w:lvlJc w:val="left"/>
      <w:pPr>
        <w:ind w:left="117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 w:tplc="F00698B0">
      <w:start w:val="1"/>
      <w:numFmt w:val="lowerLetter"/>
      <w:lvlText w:val="%4."/>
      <w:lvlJc w:val="left"/>
      <w:pPr>
        <w:ind w:left="228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4" w:tplc="2B5E43CA">
      <w:numFmt w:val="bullet"/>
      <w:lvlText w:val="•"/>
      <w:lvlJc w:val="left"/>
      <w:pPr>
        <w:ind w:left="2280" w:hanging="269"/>
      </w:pPr>
      <w:rPr>
        <w:rFonts w:hint="default"/>
        <w:lang w:val="en-US" w:eastAsia="en-US" w:bidi="ar-SA"/>
      </w:rPr>
    </w:lvl>
    <w:lvl w:ilvl="5" w:tplc="16123450">
      <w:numFmt w:val="bullet"/>
      <w:lvlText w:val="•"/>
      <w:lvlJc w:val="left"/>
      <w:pPr>
        <w:ind w:left="3500" w:hanging="269"/>
      </w:pPr>
      <w:rPr>
        <w:rFonts w:hint="default"/>
        <w:lang w:val="en-US" w:eastAsia="en-US" w:bidi="ar-SA"/>
      </w:rPr>
    </w:lvl>
    <w:lvl w:ilvl="6" w:tplc="662E9184">
      <w:numFmt w:val="bullet"/>
      <w:lvlText w:val="•"/>
      <w:lvlJc w:val="left"/>
      <w:pPr>
        <w:ind w:left="4720" w:hanging="269"/>
      </w:pPr>
      <w:rPr>
        <w:rFonts w:hint="default"/>
        <w:lang w:val="en-US" w:eastAsia="en-US" w:bidi="ar-SA"/>
      </w:rPr>
    </w:lvl>
    <w:lvl w:ilvl="7" w:tplc="FAE6D810">
      <w:numFmt w:val="bullet"/>
      <w:lvlText w:val="•"/>
      <w:lvlJc w:val="left"/>
      <w:pPr>
        <w:ind w:left="5940" w:hanging="269"/>
      </w:pPr>
      <w:rPr>
        <w:rFonts w:hint="default"/>
        <w:lang w:val="en-US" w:eastAsia="en-US" w:bidi="ar-SA"/>
      </w:rPr>
    </w:lvl>
    <w:lvl w:ilvl="8" w:tplc="701EB598">
      <w:numFmt w:val="bullet"/>
      <w:lvlText w:val="•"/>
      <w:lvlJc w:val="left"/>
      <w:pPr>
        <w:ind w:left="7160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1F4964BA"/>
    <w:multiLevelType w:val="multilevel"/>
    <w:tmpl w:val="E252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449AA"/>
    <w:multiLevelType w:val="hybridMultilevel"/>
    <w:tmpl w:val="82402E84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2B4C4958"/>
    <w:multiLevelType w:val="hybridMultilevel"/>
    <w:tmpl w:val="059C7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04F74"/>
    <w:multiLevelType w:val="hybridMultilevel"/>
    <w:tmpl w:val="ABB8542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A91E9A"/>
    <w:multiLevelType w:val="hybridMultilevel"/>
    <w:tmpl w:val="6E6214E2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17051DA"/>
    <w:multiLevelType w:val="hybridMultilevel"/>
    <w:tmpl w:val="AC3E7B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31A95AC1"/>
    <w:multiLevelType w:val="hybridMultilevel"/>
    <w:tmpl w:val="CFB62E8A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41407799"/>
    <w:multiLevelType w:val="multilevel"/>
    <w:tmpl w:val="1350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22FFC"/>
    <w:multiLevelType w:val="hybridMultilevel"/>
    <w:tmpl w:val="74787CC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2515524"/>
    <w:multiLevelType w:val="hybridMultilevel"/>
    <w:tmpl w:val="002C108E"/>
    <w:lvl w:ilvl="0" w:tplc="5F4EC55E">
      <w:start w:val="1"/>
      <w:numFmt w:val="decimal"/>
      <w:lvlText w:val="%1."/>
      <w:lvlJc w:val="left"/>
      <w:pPr>
        <w:ind w:left="3001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EBED420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2" w:tplc="865C1A4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3" w:tplc="50FC4E70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4" w:tplc="87CC090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5" w:tplc="0498A3D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2084CA1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611CD29A"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 w:tplc="FAECCB6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4C3E347C"/>
    <w:multiLevelType w:val="hybridMultilevel"/>
    <w:tmpl w:val="675EF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396A45"/>
    <w:multiLevelType w:val="hybridMultilevel"/>
    <w:tmpl w:val="32183AE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96375D6"/>
    <w:multiLevelType w:val="multilevel"/>
    <w:tmpl w:val="BF22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E433B"/>
    <w:multiLevelType w:val="hybridMultilevel"/>
    <w:tmpl w:val="F046780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662B41C7"/>
    <w:multiLevelType w:val="hybridMultilevel"/>
    <w:tmpl w:val="838AD5C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A157105"/>
    <w:multiLevelType w:val="hybridMultilevel"/>
    <w:tmpl w:val="38BAA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E189E"/>
    <w:multiLevelType w:val="hybridMultilevel"/>
    <w:tmpl w:val="1C28A24A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725734B0"/>
    <w:multiLevelType w:val="hybridMultilevel"/>
    <w:tmpl w:val="00AA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42D6F"/>
    <w:multiLevelType w:val="hybridMultilevel"/>
    <w:tmpl w:val="ECCCF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19"/>
  </w:num>
  <w:num w:numId="7">
    <w:abstractNumId w:val="27"/>
  </w:num>
  <w:num w:numId="8">
    <w:abstractNumId w:val="26"/>
  </w:num>
  <w:num w:numId="9">
    <w:abstractNumId w:val="2"/>
  </w:num>
  <w:num w:numId="10">
    <w:abstractNumId w:val="20"/>
  </w:num>
  <w:num w:numId="11">
    <w:abstractNumId w:val="17"/>
  </w:num>
  <w:num w:numId="12">
    <w:abstractNumId w:val="7"/>
  </w:num>
  <w:num w:numId="13">
    <w:abstractNumId w:val="13"/>
  </w:num>
  <w:num w:numId="14">
    <w:abstractNumId w:val="15"/>
  </w:num>
  <w:num w:numId="15">
    <w:abstractNumId w:val="25"/>
  </w:num>
  <w:num w:numId="16">
    <w:abstractNumId w:val="5"/>
  </w:num>
  <w:num w:numId="17">
    <w:abstractNumId w:val="23"/>
  </w:num>
  <w:num w:numId="18">
    <w:abstractNumId w:val="14"/>
  </w:num>
  <w:num w:numId="19">
    <w:abstractNumId w:val="6"/>
  </w:num>
  <w:num w:numId="20">
    <w:abstractNumId w:val="4"/>
  </w:num>
  <w:num w:numId="21">
    <w:abstractNumId w:val="9"/>
  </w:num>
  <w:num w:numId="22">
    <w:abstractNumId w:val="21"/>
  </w:num>
  <w:num w:numId="23">
    <w:abstractNumId w:val="12"/>
  </w:num>
  <w:num w:numId="24">
    <w:abstractNumId w:val="16"/>
  </w:num>
  <w:num w:numId="25">
    <w:abstractNumId w:val="24"/>
  </w:num>
  <w:num w:numId="26">
    <w:abstractNumId w:val="0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sTA3MjYwNDAwszRR0lEKTi0uzszPAykwrgUABv5b8CwAAAA="/>
  </w:docVars>
  <w:rsids>
    <w:rsidRoot w:val="00A93FF7"/>
    <w:rsid w:val="0000133E"/>
    <w:rsid w:val="00003655"/>
    <w:rsid w:val="00006C10"/>
    <w:rsid w:val="00006C1A"/>
    <w:rsid w:val="00016ACB"/>
    <w:rsid w:val="000200D0"/>
    <w:rsid w:val="000200F2"/>
    <w:rsid w:val="00021A45"/>
    <w:rsid w:val="00035729"/>
    <w:rsid w:val="00035D38"/>
    <w:rsid w:val="00041A73"/>
    <w:rsid w:val="00044324"/>
    <w:rsid w:val="00064EEF"/>
    <w:rsid w:val="00074A94"/>
    <w:rsid w:val="00075048"/>
    <w:rsid w:val="00076D92"/>
    <w:rsid w:val="0009482C"/>
    <w:rsid w:val="00095108"/>
    <w:rsid w:val="000A1450"/>
    <w:rsid w:val="000C0ED2"/>
    <w:rsid w:val="000D6FE0"/>
    <w:rsid w:val="000F43C1"/>
    <w:rsid w:val="000F5F5F"/>
    <w:rsid w:val="000F674A"/>
    <w:rsid w:val="00110B64"/>
    <w:rsid w:val="00113EBB"/>
    <w:rsid w:val="0012162C"/>
    <w:rsid w:val="001310E8"/>
    <w:rsid w:val="001345E9"/>
    <w:rsid w:val="00154B35"/>
    <w:rsid w:val="00161708"/>
    <w:rsid w:val="00163518"/>
    <w:rsid w:val="00191BBF"/>
    <w:rsid w:val="001A3C87"/>
    <w:rsid w:val="001B3AB4"/>
    <w:rsid w:val="001B57E2"/>
    <w:rsid w:val="001B6A03"/>
    <w:rsid w:val="001C4504"/>
    <w:rsid w:val="001D39BA"/>
    <w:rsid w:val="001E63E2"/>
    <w:rsid w:val="001F268C"/>
    <w:rsid w:val="00203585"/>
    <w:rsid w:val="00206B7E"/>
    <w:rsid w:val="00230B1B"/>
    <w:rsid w:val="00230D7B"/>
    <w:rsid w:val="002416D1"/>
    <w:rsid w:val="00242615"/>
    <w:rsid w:val="002472B6"/>
    <w:rsid w:val="00256DBD"/>
    <w:rsid w:val="002610B6"/>
    <w:rsid w:val="00272C1E"/>
    <w:rsid w:val="002738B7"/>
    <w:rsid w:val="002763FE"/>
    <w:rsid w:val="0027645E"/>
    <w:rsid w:val="00280BBF"/>
    <w:rsid w:val="00282BC5"/>
    <w:rsid w:val="0028470E"/>
    <w:rsid w:val="00284BCF"/>
    <w:rsid w:val="0028586D"/>
    <w:rsid w:val="00293EBD"/>
    <w:rsid w:val="002B5905"/>
    <w:rsid w:val="002F42A4"/>
    <w:rsid w:val="00302298"/>
    <w:rsid w:val="0030516E"/>
    <w:rsid w:val="0030564D"/>
    <w:rsid w:val="0030631E"/>
    <w:rsid w:val="00324A69"/>
    <w:rsid w:val="00327222"/>
    <w:rsid w:val="00336DD7"/>
    <w:rsid w:val="00340F2F"/>
    <w:rsid w:val="00343BC2"/>
    <w:rsid w:val="00345CBC"/>
    <w:rsid w:val="00350610"/>
    <w:rsid w:val="00356131"/>
    <w:rsid w:val="00356E58"/>
    <w:rsid w:val="003601F5"/>
    <w:rsid w:val="00361DF7"/>
    <w:rsid w:val="00364145"/>
    <w:rsid w:val="003734DD"/>
    <w:rsid w:val="00374AF5"/>
    <w:rsid w:val="0038303E"/>
    <w:rsid w:val="00386185"/>
    <w:rsid w:val="003A0B64"/>
    <w:rsid w:val="003A0CB2"/>
    <w:rsid w:val="003A21FA"/>
    <w:rsid w:val="003A5046"/>
    <w:rsid w:val="003A7FE6"/>
    <w:rsid w:val="003B4C35"/>
    <w:rsid w:val="003C5AB1"/>
    <w:rsid w:val="003C6512"/>
    <w:rsid w:val="003F0F4D"/>
    <w:rsid w:val="003F208B"/>
    <w:rsid w:val="003F4F66"/>
    <w:rsid w:val="003F7759"/>
    <w:rsid w:val="00410CA8"/>
    <w:rsid w:val="004133A8"/>
    <w:rsid w:val="0041410C"/>
    <w:rsid w:val="00430457"/>
    <w:rsid w:val="00437E9F"/>
    <w:rsid w:val="00447001"/>
    <w:rsid w:val="00450BCD"/>
    <w:rsid w:val="00450C3D"/>
    <w:rsid w:val="00460677"/>
    <w:rsid w:val="00470B95"/>
    <w:rsid w:val="00480699"/>
    <w:rsid w:val="004957D0"/>
    <w:rsid w:val="004A67BB"/>
    <w:rsid w:val="004C26BB"/>
    <w:rsid w:val="004C7B0C"/>
    <w:rsid w:val="004D1BD1"/>
    <w:rsid w:val="004E1E65"/>
    <w:rsid w:val="004E410F"/>
    <w:rsid w:val="005121C8"/>
    <w:rsid w:val="00523305"/>
    <w:rsid w:val="005266F2"/>
    <w:rsid w:val="005311E1"/>
    <w:rsid w:val="00547B6F"/>
    <w:rsid w:val="005609EF"/>
    <w:rsid w:val="00561FFB"/>
    <w:rsid w:val="00583B11"/>
    <w:rsid w:val="005905BA"/>
    <w:rsid w:val="00593EB8"/>
    <w:rsid w:val="005A559E"/>
    <w:rsid w:val="005B3986"/>
    <w:rsid w:val="005C145C"/>
    <w:rsid w:val="005C59EC"/>
    <w:rsid w:val="005C7C09"/>
    <w:rsid w:val="005D0F80"/>
    <w:rsid w:val="005E5F7F"/>
    <w:rsid w:val="005F35E7"/>
    <w:rsid w:val="005F7920"/>
    <w:rsid w:val="00607E21"/>
    <w:rsid w:val="006223C9"/>
    <w:rsid w:val="00622C16"/>
    <w:rsid w:val="00643014"/>
    <w:rsid w:val="00657161"/>
    <w:rsid w:val="00660092"/>
    <w:rsid w:val="006601A1"/>
    <w:rsid w:val="006631DD"/>
    <w:rsid w:val="00670274"/>
    <w:rsid w:val="00672988"/>
    <w:rsid w:val="006820DC"/>
    <w:rsid w:val="006834CE"/>
    <w:rsid w:val="00691128"/>
    <w:rsid w:val="006A7649"/>
    <w:rsid w:val="006C29F5"/>
    <w:rsid w:val="006D170F"/>
    <w:rsid w:val="006D5052"/>
    <w:rsid w:val="007131AD"/>
    <w:rsid w:val="00727BE5"/>
    <w:rsid w:val="00730459"/>
    <w:rsid w:val="00744497"/>
    <w:rsid w:val="007618D3"/>
    <w:rsid w:val="00775E24"/>
    <w:rsid w:val="0078074D"/>
    <w:rsid w:val="007B302D"/>
    <w:rsid w:val="007B3AD8"/>
    <w:rsid w:val="007B43D3"/>
    <w:rsid w:val="007B60DA"/>
    <w:rsid w:val="007B75AB"/>
    <w:rsid w:val="007C11DE"/>
    <w:rsid w:val="007C4A24"/>
    <w:rsid w:val="007D5303"/>
    <w:rsid w:val="007D7DFC"/>
    <w:rsid w:val="007F0D8C"/>
    <w:rsid w:val="007F25A7"/>
    <w:rsid w:val="007F68E9"/>
    <w:rsid w:val="008004AA"/>
    <w:rsid w:val="008109FC"/>
    <w:rsid w:val="00817C96"/>
    <w:rsid w:val="00825B16"/>
    <w:rsid w:val="0083627A"/>
    <w:rsid w:val="0086258A"/>
    <w:rsid w:val="0086260F"/>
    <w:rsid w:val="0086512C"/>
    <w:rsid w:val="00873F27"/>
    <w:rsid w:val="00875924"/>
    <w:rsid w:val="00875E6E"/>
    <w:rsid w:val="0088771C"/>
    <w:rsid w:val="008A5770"/>
    <w:rsid w:val="008A628B"/>
    <w:rsid w:val="008C270C"/>
    <w:rsid w:val="008C442F"/>
    <w:rsid w:val="008C6641"/>
    <w:rsid w:val="008D3D64"/>
    <w:rsid w:val="008E10DE"/>
    <w:rsid w:val="008E1523"/>
    <w:rsid w:val="008F0C12"/>
    <w:rsid w:val="008F4F71"/>
    <w:rsid w:val="008F7C9F"/>
    <w:rsid w:val="00911D57"/>
    <w:rsid w:val="0091503B"/>
    <w:rsid w:val="009249FB"/>
    <w:rsid w:val="00946319"/>
    <w:rsid w:val="009470B2"/>
    <w:rsid w:val="00950760"/>
    <w:rsid w:val="00950B4E"/>
    <w:rsid w:val="00964189"/>
    <w:rsid w:val="00966B4E"/>
    <w:rsid w:val="009754FF"/>
    <w:rsid w:val="00982B9B"/>
    <w:rsid w:val="009937B9"/>
    <w:rsid w:val="009973AB"/>
    <w:rsid w:val="009978C9"/>
    <w:rsid w:val="009B2C9B"/>
    <w:rsid w:val="009B75F5"/>
    <w:rsid w:val="009D5F45"/>
    <w:rsid w:val="009E3DCC"/>
    <w:rsid w:val="009E4E96"/>
    <w:rsid w:val="00A0368F"/>
    <w:rsid w:val="00A15B31"/>
    <w:rsid w:val="00A218AB"/>
    <w:rsid w:val="00A22977"/>
    <w:rsid w:val="00A22C5C"/>
    <w:rsid w:val="00A23D0A"/>
    <w:rsid w:val="00A258A4"/>
    <w:rsid w:val="00A26E14"/>
    <w:rsid w:val="00A3065B"/>
    <w:rsid w:val="00A32423"/>
    <w:rsid w:val="00A51155"/>
    <w:rsid w:val="00A56350"/>
    <w:rsid w:val="00A72D6F"/>
    <w:rsid w:val="00A77EC7"/>
    <w:rsid w:val="00A8285A"/>
    <w:rsid w:val="00A83E2D"/>
    <w:rsid w:val="00A903D8"/>
    <w:rsid w:val="00A93FF7"/>
    <w:rsid w:val="00AA3009"/>
    <w:rsid w:val="00AB3BEF"/>
    <w:rsid w:val="00AB50BA"/>
    <w:rsid w:val="00B01E21"/>
    <w:rsid w:val="00B057B0"/>
    <w:rsid w:val="00B148A5"/>
    <w:rsid w:val="00B223B8"/>
    <w:rsid w:val="00B27E54"/>
    <w:rsid w:val="00B33D23"/>
    <w:rsid w:val="00B406D7"/>
    <w:rsid w:val="00B43B3A"/>
    <w:rsid w:val="00B500A9"/>
    <w:rsid w:val="00B66E3F"/>
    <w:rsid w:val="00B77B32"/>
    <w:rsid w:val="00B81C3A"/>
    <w:rsid w:val="00B8352F"/>
    <w:rsid w:val="00BA01A2"/>
    <w:rsid w:val="00BA748A"/>
    <w:rsid w:val="00BB102A"/>
    <w:rsid w:val="00BB2476"/>
    <w:rsid w:val="00BB374F"/>
    <w:rsid w:val="00BC0FD9"/>
    <w:rsid w:val="00BC1716"/>
    <w:rsid w:val="00BC3CB0"/>
    <w:rsid w:val="00BC4152"/>
    <w:rsid w:val="00BC5256"/>
    <w:rsid w:val="00BC6FC9"/>
    <w:rsid w:val="00BD70A3"/>
    <w:rsid w:val="00BE72BB"/>
    <w:rsid w:val="00BE7DE6"/>
    <w:rsid w:val="00BF24AF"/>
    <w:rsid w:val="00C12A65"/>
    <w:rsid w:val="00C21262"/>
    <w:rsid w:val="00C31D34"/>
    <w:rsid w:val="00C44D0B"/>
    <w:rsid w:val="00C520E7"/>
    <w:rsid w:val="00C565A5"/>
    <w:rsid w:val="00C568A5"/>
    <w:rsid w:val="00C578D3"/>
    <w:rsid w:val="00C62E04"/>
    <w:rsid w:val="00C70105"/>
    <w:rsid w:val="00C74556"/>
    <w:rsid w:val="00CA09B2"/>
    <w:rsid w:val="00CA346B"/>
    <w:rsid w:val="00CA5239"/>
    <w:rsid w:val="00CA6600"/>
    <w:rsid w:val="00CA6686"/>
    <w:rsid w:val="00CB1F39"/>
    <w:rsid w:val="00CC14D8"/>
    <w:rsid w:val="00CC3DC2"/>
    <w:rsid w:val="00CD6813"/>
    <w:rsid w:val="00CE7F7A"/>
    <w:rsid w:val="00D00AAD"/>
    <w:rsid w:val="00D10156"/>
    <w:rsid w:val="00D13804"/>
    <w:rsid w:val="00D219C5"/>
    <w:rsid w:val="00D30DF7"/>
    <w:rsid w:val="00D33295"/>
    <w:rsid w:val="00D34472"/>
    <w:rsid w:val="00D52F38"/>
    <w:rsid w:val="00D5781A"/>
    <w:rsid w:val="00D639E0"/>
    <w:rsid w:val="00DA44BA"/>
    <w:rsid w:val="00DB3409"/>
    <w:rsid w:val="00DB6443"/>
    <w:rsid w:val="00DC2BD6"/>
    <w:rsid w:val="00DC6E13"/>
    <w:rsid w:val="00DE30AC"/>
    <w:rsid w:val="00DF5F47"/>
    <w:rsid w:val="00E06994"/>
    <w:rsid w:val="00E12276"/>
    <w:rsid w:val="00E13EA8"/>
    <w:rsid w:val="00E156A1"/>
    <w:rsid w:val="00E22431"/>
    <w:rsid w:val="00E40796"/>
    <w:rsid w:val="00E41B5A"/>
    <w:rsid w:val="00E4587E"/>
    <w:rsid w:val="00E550EC"/>
    <w:rsid w:val="00E551EE"/>
    <w:rsid w:val="00E610DF"/>
    <w:rsid w:val="00E66291"/>
    <w:rsid w:val="00E66F9D"/>
    <w:rsid w:val="00E765B9"/>
    <w:rsid w:val="00E76A87"/>
    <w:rsid w:val="00E84861"/>
    <w:rsid w:val="00E85ADB"/>
    <w:rsid w:val="00EB5FC4"/>
    <w:rsid w:val="00ED67CB"/>
    <w:rsid w:val="00F006D3"/>
    <w:rsid w:val="00F2128B"/>
    <w:rsid w:val="00F26200"/>
    <w:rsid w:val="00F330E5"/>
    <w:rsid w:val="00F3313C"/>
    <w:rsid w:val="00F37A9A"/>
    <w:rsid w:val="00F42153"/>
    <w:rsid w:val="00F42B44"/>
    <w:rsid w:val="00F432DF"/>
    <w:rsid w:val="00F66E5A"/>
    <w:rsid w:val="00F76050"/>
    <w:rsid w:val="00F7623D"/>
    <w:rsid w:val="00F77D8A"/>
    <w:rsid w:val="00F839A7"/>
    <w:rsid w:val="00FA20C7"/>
    <w:rsid w:val="00FB3551"/>
    <w:rsid w:val="00FB4402"/>
    <w:rsid w:val="00FB55DE"/>
    <w:rsid w:val="00FD1554"/>
    <w:rsid w:val="00FD630D"/>
    <w:rsid w:val="00FD7D0B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373DBD"/>
  <w15:docId w15:val="{187A59BB-52A7-4DE0-A7D7-1F1BE044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8" w:hanging="359"/>
      <w:outlineLvl w:val="0"/>
    </w:pPr>
    <w:rPr>
      <w:b/>
      <w:bCs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8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26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"/>
      <w:ind w:left="1560"/>
    </w:p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2"/>
      <w:ind w:left="156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paragraph" w:styleId="Footer">
    <w:name w:val="footer"/>
    <w:basedOn w:val="Normal"/>
    <w:link w:val="FooterChar"/>
    <w:rsid w:val="00D5781A"/>
    <w:pPr>
      <w:widowControl/>
      <w:pBdr>
        <w:top w:val="single" w:sz="4" w:space="1" w:color="auto"/>
      </w:pBdr>
      <w:autoSpaceDE/>
      <w:autoSpaceDN/>
      <w:spacing w:before="120"/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D5781A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5781A"/>
  </w:style>
  <w:style w:type="paragraph" w:styleId="Header">
    <w:name w:val="header"/>
    <w:basedOn w:val="Normal"/>
    <w:link w:val="HeaderChar"/>
    <w:uiPriority w:val="99"/>
    <w:unhideWhenUsed/>
    <w:rsid w:val="00D578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1A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27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7BE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F268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Indent">
    <w:name w:val="Normal Indent"/>
    <w:basedOn w:val="Normal"/>
    <w:rsid w:val="008C442F"/>
    <w:pPr>
      <w:widowControl/>
      <w:autoSpaceDE/>
      <w:autoSpaceDN/>
      <w:spacing w:after="120"/>
      <w:ind w:left="432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4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4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4B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B35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B5905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8A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xmsolistparagraph">
    <w:name w:val="x_msolistparagraph"/>
    <w:basedOn w:val="Normal"/>
    <w:rsid w:val="00BC52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z-ms">
    <w:name w:val="fz-ms"/>
    <w:basedOn w:val="Normal"/>
    <w:rsid w:val="004957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1262"/>
    <w:rPr>
      <w:color w:val="800080" w:themeColor="followedHyperlink"/>
      <w:u w:val="single"/>
    </w:rPr>
  </w:style>
  <w:style w:type="paragraph" w:customStyle="1" w:styleId="va-top">
    <w:name w:val="va-top"/>
    <w:basedOn w:val="Normal"/>
    <w:rsid w:val="008D3D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8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4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96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iltecportal.com/knowledge-base/payrol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vailtecportal.com/knowledge-base/payroll/quick-gui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ailtecportal.com/knowledge-base/payroll/product_documenta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8A27-E3A8-4493-977F-46DD2F85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26470</TotalTime>
  <Pages>2</Pages>
  <Words>523</Words>
  <Characters>3393</Characters>
  <Application>Microsoft Office Word</Application>
  <DocSecurity>0</DocSecurity>
  <Lines>141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Caulton</dc:creator>
  <cp:keywords/>
  <dc:description/>
  <cp:lastModifiedBy>JODY</cp:lastModifiedBy>
  <cp:revision>12</cp:revision>
  <cp:lastPrinted>2021-04-07T15:31:00Z</cp:lastPrinted>
  <dcterms:created xsi:type="dcterms:W3CDTF">2021-05-17T15:45:00Z</dcterms:created>
  <dcterms:modified xsi:type="dcterms:W3CDTF">2021-08-12T20:18:00Z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2021-02-23T00:00:00Z</vt:filetime>
  </property>
</Properties>
</file>